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  <w:jc w:val="center"/>
      </w:pPr>
      <w:r>
        <w:rPr>
          <w:rFonts w:ascii="Calibri" w:hAnsi="Calibri" w:cs="Calibri" w:eastAsia="Calibri"/>
          <w:b/>
          <w:color w:val="17365D"/>
          <w:sz w:val="44"/>
        </w:rPr>
        <w:t>ПОЛИТИКА ОБРАБОТКИ ПЕРСОНАЛЬНЫХ ДАННЫХ</w:t>
      </w:r>
    </w:p>
    <w:p>
      <w:pPr>
        <w:spacing w:after="140"/>
        <w:jc w:val="center"/>
      </w:pPr>
      <w:r>
        <w:rPr>
          <w:rFonts w:ascii="Calibri" w:hAnsi="Calibri" w:cs="Calibri" w:eastAsia="Calibri"/>
          <w:color w:val="2E74B5"/>
          <w:sz w:val="24"/>
        </w:rPr>
        <w:t>сайт, Telegram-боты и сервис Пульс</w:t>
      </w:r>
    </w:p>
    <w:p>
      <w:pPr>
        <w:spacing w:after="240"/>
        <w:jc w:val="center"/>
      </w:pPr>
      <w:r>
        <w:rPr>
          <w:rFonts w:ascii="Calibri" w:hAnsi="Calibri" w:cs="Calibri" w:eastAsia="Calibri"/>
          <w:i/>
          <w:color w:val="64748B"/>
          <w:sz w:val="19"/>
        </w:rPr>
        <w:t>Редакция 2.0 от 16 августа 2026 года</w:t>
      </w:r>
    </w:p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D2DE"/>
          <w:left w:val="single" w:sz="6" w:space="0" w:color="C7D2DE"/>
          <w:bottom w:val="single" w:sz="6" w:space="0" w:color="C7D2DE"/>
          <w:right w:val="single" w:sz="6" w:space="0" w:color="C7D2DE"/>
          <w:insideH w:val="single" w:sz="6" w:space="0" w:color="C7D2DE"/>
          <w:insideV w:val="single" w:sz="6" w:space="0" w:color="C7D2DE"/>
        </w:tblBorders>
      </w:tblPr>
      <w:tblGrid>
        <w:gridCol w:w="2480"/>
        <w:gridCol w:w="7264"/>
      </w:tblGrid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Оператор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Сандуляк Владимир Алексеевич, плательщик НПД, ИНН 500323925215</w:t>
            </w:r>
          </w:p>
        </w:tc>
      </w:tr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Контакт по данным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pulsebotsupport@gmail.com · @pulsybotsupport · +7 993 606-40-05</w:t>
            </w:r>
          </w:p>
        </w:tc>
      </w:tr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Сервисы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сайт Пульс, @pulsyvpnbot, @pulsytiktokbot и поддержка</w:t>
            </w:r>
          </w:p>
        </w:tc>
      </w:tr>
    </w:tbl>
    <w:p>
      <w:pPr>
        <w:pStyle w:val="Heading1"/>
      </w:pPr>
      <w:r>
        <w:t>1. Назначение Политики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1.1. </w:t>
      </w:r>
      <w:r>
        <w:rPr>
          <w:rFonts w:ascii="Calibri" w:hAnsi="Calibri" w:cs="Calibri" w:eastAsia="Calibri"/>
          <w:color w:val="1F2937"/>
          <w:sz w:val="21"/>
        </w:rPr>
        <w:t>Политика объясняет, какие данные обрабатывает Пульс, для чего, на каком основании, кому они могут передаваться, сколько хранятся и как Пользователь может реализовать свои права.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1.2. </w:t>
      </w:r>
      <w:r>
        <w:rPr>
          <w:rFonts w:ascii="Calibri" w:hAnsi="Calibri" w:cs="Calibri" w:eastAsia="Calibri"/>
          <w:color w:val="1F2937"/>
          <w:sz w:val="21"/>
        </w:rPr>
        <w:t>Оператор обрабатывает только данные, необходимые для работы сервиса, оплаты, поддержки, безопасности и исполнения закона. Политика не распространяется на самостоятельную обработку данных Telegram, RollyPay.io, банков, приложений Happ и других третьих лиц.</w:t>
      </w:r>
    </w:p>
    <w:p>
      <w:pPr>
        <w:pStyle w:val="Heading1"/>
      </w:pPr>
      <w:r>
        <w:t>2. Какие данные обрабатываются</w:t>
      </w:r>
    </w:p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D2DE"/>
          <w:left w:val="single" w:sz="6" w:space="0" w:color="C7D2DE"/>
          <w:bottom w:val="single" w:sz="6" w:space="0" w:color="C7D2DE"/>
          <w:right w:val="single" w:sz="6" w:space="0" w:color="C7D2DE"/>
          <w:insideH w:val="single" w:sz="6" w:space="0" w:color="C7D2DE"/>
          <w:insideV w:val="single" w:sz="6" w:space="0" w:color="C7D2DE"/>
        </w:tblBorders>
      </w:tblPr>
      <w:tblGrid>
        <w:gridCol w:w="2450"/>
        <w:gridCol w:w="7294"/>
      </w:tblGrid>
      <w:tr>
        <w:trPr>
          <w:tblHeader/>
          <w:cantSplit/>
        </w:trPr>
        <w:tc>
          <w:tcPr>
            <w:tcW w:type="dxa" w:w="245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Категория</w:t>
            </w:r>
          </w:p>
        </w:tc>
        <w:tc>
          <w:tcPr>
            <w:tcW w:type="dxa" w:w="7294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Состав данных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Telegram и аккаунт</w:t>
            </w:r>
          </w:p>
        </w:tc>
        <w:tc>
          <w:tcPr>
            <w:tcW w:type="dxa" w:w="72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Telegram ID, username, отображаемое имя и язык, если они переданы Telegram; даты регистрации и действий в боте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Заказы и подписка</w:t>
            </w:r>
          </w:p>
        </w:tc>
        <w:tc>
          <w:tcPr>
            <w:tcW w:type="dxa" w:w="72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тариф, срок, цена, скидка, номер и статус заказа, дата выдачи доступа, срок подписки, количество зарегистрированных устройств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Платёж</w:t>
            </w:r>
          </w:p>
        </w:tc>
        <w:tc>
          <w:tcPr>
            <w:tcW w:type="dxa" w:w="72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идентификатор, сумма, валюта, способ и статус операции, возврат; e-mail для чека. Полные данные карты и CVC/CVV Пульс не получает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Технические журналы</w:t>
            </w:r>
          </w:p>
        </w:tc>
        <w:tc>
          <w:tcPr>
            <w:tcW w:type="dxa" w:w="72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дата и время подключения, серверный узел, протокол, технический IP-адрес, тип устройства/ОС/приложения, объём трафика и коды ошибок — в объёме, нужном для безопасности и поддержки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Поддержка</w:t>
            </w:r>
          </w:p>
        </w:tc>
        <w:tc>
          <w:tcPr>
            <w:tcW w:type="dxa" w:w="72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текст обращения, вложения и диагностика, которые Пользователь направил добровольно, история ответа и решения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Реферальная программа</w:t>
            </w:r>
          </w:p>
        </w:tc>
        <w:tc>
          <w:tcPr>
            <w:tcW w:type="dxa" w:w="72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реферальный код и связь аккаунтов, время перехода, квалифицирующая оплата, скидка, бонус, проверка и корректировка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Контент-мейкеры</w:t>
            </w:r>
          </w:p>
        </w:tc>
        <w:tc>
          <w:tcPr>
            <w:tcW w:type="dxa" w:w="72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TikTok-никнейм и ссылка, подписчики, скриншоты владения, статистика публикаций, промокоды; ФИО, телефон/SBP, банк, ИНН и налоговый статус — если нужны для выплаты</w:t>
            </w:r>
          </w:p>
        </w:tc>
      </w:tr>
    </w:tbl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60" w:type="dxa"/>
        <w:tblBorders>
          <w:top w:val="single" w:sz="8" w:space="0" w:color="9DB7CC"/>
          <w:left w:val="single" w:sz="8" w:space="0" w:color="9DB7CC"/>
          <w:bottom w:val="single" w:sz="8" w:space="0" w:color="9DB7CC"/>
          <w:right w:val="single" w:sz="8" w:space="0" w:color="9DB7CC"/>
          <w:insideH w:val="single" w:sz="8" w:space="0" w:color="9DB7CC"/>
          <w:insideV w:val="single" w:sz="8" w:space="0" w:color="9DB7CC"/>
        </w:tblBorders>
      </w:tblPr>
      <w:tblGrid>
        <w:gridCol w:w="9744"/>
      </w:tblGrid>
      <w:tr>
        <w:trPr>
          <w:cantSplit/>
        </w:trPr>
        <w:tc>
          <w:tcPr>
            <w:tcW w:type="dxa" w:w="9744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  <w:shd w:val="clear" w:color="auto" w:fill="F7F9FB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20"/>
              </w:rPr>
              <w:t>Пульс не ведёт целевой журнал содержимого трафика, текстов сообщений, паролей, файлов и перечня посещённых страниц. Техническая инфраструктура всё равно может временно обрабатывать сетевые адреса, необходимые для передачи пакетов и защиты сервиса.</w:t>
            </w:r>
          </w:p>
        </w:tc>
      </w:tr>
    </w:tbl>
    <w:p>
      <w:pPr>
        <w:pStyle w:val="Heading1"/>
      </w:pPr>
      <w:r>
        <w:t>3. Цели и основания</w:t>
      </w:r>
    </w:p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D2DE"/>
          <w:left w:val="single" w:sz="6" w:space="0" w:color="C7D2DE"/>
          <w:bottom w:val="single" w:sz="6" w:space="0" w:color="C7D2DE"/>
          <w:right w:val="single" w:sz="6" w:space="0" w:color="C7D2DE"/>
          <w:insideH w:val="single" w:sz="6" w:space="0" w:color="C7D2DE"/>
          <w:insideV w:val="single" w:sz="6" w:space="0" w:color="C7D2DE"/>
        </w:tblBorders>
      </w:tblPr>
      <w:tblGrid>
        <w:gridCol w:w="4700"/>
        <w:gridCol w:w="5044"/>
      </w:tblGrid>
      <w:tr>
        <w:trPr>
          <w:tblHeader/>
          <w:cantSplit/>
        </w:trPr>
        <w:tc>
          <w:tcPr>
            <w:tcW w:type="dxa" w:w="470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Цель</w:t>
            </w:r>
          </w:p>
        </w:tc>
        <w:tc>
          <w:tcPr>
            <w:tcW w:type="dxa" w:w="5044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Основание</w:t>
            </w:r>
          </w:p>
        </w:tc>
      </w:tr>
      <w:tr>
        <w:trPr>
          <w:cantSplit/>
        </w:trPr>
        <w:tc>
          <w:tcPr>
            <w:tcW w:type="dxa" w:w="4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Регистрация, пробный период, заказ, выдача и поддержка доступа</w:t>
            </w:r>
          </w:p>
        </w:tc>
        <w:tc>
          <w:tcPr>
            <w:tcW w:type="dxa" w:w="50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заключение и исполнение договора по инициативе Пользователя</w:t>
            </w:r>
          </w:p>
        </w:tc>
      </w:tr>
      <w:tr>
        <w:trPr>
          <w:cantSplit/>
        </w:trPr>
        <w:tc>
          <w:tcPr>
            <w:tcW w:type="dxa" w:w="4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Приём и подтверждение оплаты, чек, возврат, учёт</w:t>
            </w:r>
          </w:p>
        </w:tc>
        <w:tc>
          <w:tcPr>
            <w:tcW w:type="dxa" w:w="50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исполнение договора и обязанностей по закону</w:t>
            </w:r>
          </w:p>
        </w:tc>
      </w:tr>
      <w:tr>
        <w:trPr>
          <w:cantSplit/>
        </w:trPr>
        <w:tc>
          <w:tcPr>
            <w:tcW w:type="dxa" w:w="4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Защита сервиса, ограничение повторного теста, антифрод, расследование нарушений</w:t>
            </w:r>
          </w:p>
        </w:tc>
        <w:tc>
          <w:tcPr>
            <w:tcW w:type="dxa" w:w="50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законный интерес в безопасности и защите прав; обязательные требования закона</w:t>
            </w:r>
          </w:p>
        </w:tc>
      </w:tr>
      <w:tr>
        <w:trPr>
          <w:cantSplit/>
        </w:trPr>
        <w:tc>
          <w:tcPr>
            <w:tcW w:type="dxa" w:w="4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Поддержка и рассмотрение претензий</w:t>
            </w:r>
          </w:p>
        </w:tc>
        <w:tc>
          <w:tcPr>
            <w:tcW w:type="dxa" w:w="50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договор, законный интерес и исполнение требований закона</w:t>
            </w:r>
          </w:p>
        </w:tc>
      </w:tr>
      <w:tr>
        <w:trPr>
          <w:cantSplit/>
        </w:trPr>
        <w:tc>
          <w:tcPr>
            <w:tcW w:type="dxa" w:w="4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Реферальная программа</w:t>
            </w:r>
          </w:p>
        </w:tc>
        <w:tc>
          <w:tcPr>
            <w:tcW w:type="dxa" w:w="50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правила программы; согласие, когда оно требуется</w:t>
            </w:r>
          </w:p>
        </w:tc>
      </w:tr>
      <w:tr>
        <w:trPr>
          <w:cantSplit/>
        </w:trPr>
        <w:tc>
          <w:tcPr>
            <w:tcW w:type="dxa" w:w="4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Заявка и выплата контент-мейкеру</w:t>
            </w:r>
          </w:p>
        </w:tc>
        <w:tc>
          <w:tcPr>
            <w:tcW w:type="dxa" w:w="50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согласие, правила программы и финансовый учёт</w:t>
            </w:r>
          </w:p>
        </w:tc>
      </w:tr>
      <w:tr>
        <w:trPr>
          <w:cantSplit/>
        </w:trPr>
        <w:tc>
          <w:tcPr>
            <w:tcW w:type="dxa" w:w="4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Рекламные сообщения</w:t>
            </w:r>
          </w:p>
        </w:tc>
        <w:tc>
          <w:tcPr>
            <w:tcW w:type="dxa" w:w="50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только отдельное добровольное согласие, которое можно отозвать</w:t>
            </w:r>
          </w:p>
        </w:tc>
      </w:tr>
    </w:tbl>
    <w:p>
      <w:pPr>
        <w:pStyle w:val="Heading1"/>
      </w:pPr>
      <w:r>
        <w:t>4. Получатели и иностранная инфраструктура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4.1. </w:t>
      </w:r>
      <w:r>
        <w:rPr>
          <w:rFonts w:ascii="Calibri" w:hAnsi="Calibri" w:cs="Calibri" w:eastAsia="Calibri"/>
          <w:color w:val="1F2937"/>
          <w:sz w:val="21"/>
        </w:rPr>
        <w:t>Доступ к данным получают только лица и сервисы, которым он нужен для конкретной функции: уполномоченные сотрудники/подрядчики Пульс; Telegram; поставщик серверной инфраструктуры; платёжные и финансовые участники; банк и бухгалтер для выплат; государственные органы по законному требованию.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4.2. </w:t>
      </w:r>
      <w:r>
        <w:rPr>
          <w:rFonts w:ascii="Calibri" w:hAnsi="Calibri" w:cs="Calibri" w:eastAsia="Calibri"/>
          <w:color w:val="1F2937"/>
          <w:sz w:val="21"/>
        </w:rPr>
        <w:t>При оплате Пульс передаёт RollyPay.io сведения, необходимые для создания и сверки платежа: номер заказа, назначение, сумму, валюту и при необходимости контакт для уведомления. Платёжную форму RollyPay.io предоставляет OMNEXIS TECH LTD; RollyPay.io и участники финансовой инфраструктуры могут самостоятельно определять цели обработки платёжных данных по своим документам.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4.3. </w:t>
      </w:r>
      <w:r>
        <w:rPr>
          <w:rFonts w:ascii="Calibri" w:hAnsi="Calibri" w:cs="Calibri" w:eastAsia="Calibri"/>
          <w:color w:val="1F2937"/>
          <w:sz w:val="21"/>
        </w:rPr>
        <w:t>Серверная инфраструктура Пульс может находиться в Германии. Использование Telegram, RollyPay.io и иных зарубежных сервисов может повлечь трансграничную передачу. Оператор применяет такой сценарий только при наличии предусмотренного законом основания и выполнения обязательных процедур; Пользователь может запросить сведения о конкретном получателе через e-mail Оператора.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4.4. </w:t>
      </w:r>
      <w:r>
        <w:rPr>
          <w:rFonts w:ascii="Calibri" w:hAnsi="Calibri" w:cs="Calibri" w:eastAsia="Calibri"/>
          <w:color w:val="1F2937"/>
          <w:sz w:val="21"/>
        </w:rPr>
        <w:t>Данные не продаются и не передаются сторонним рекламным сетям. На сайте не используются Яндекс.Метрика, Google Analytics и рекламные пиксели. Допустимы только технически необходимые сведения сессии, если без них не работает выбранная функция.</w:t>
      </w:r>
    </w:p>
    <w:p>
      <w:pPr>
        <w:pStyle w:val="Heading1"/>
      </w:pPr>
      <w:r>
        <w:t>5. Сроки хранения</w:t>
      </w:r>
    </w:p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D2DE"/>
          <w:left w:val="single" w:sz="6" w:space="0" w:color="C7D2DE"/>
          <w:bottom w:val="single" w:sz="6" w:space="0" w:color="C7D2DE"/>
          <w:right w:val="single" w:sz="6" w:space="0" w:color="C7D2DE"/>
          <w:insideH w:val="single" w:sz="6" w:space="0" w:color="C7D2DE"/>
          <w:insideV w:val="single" w:sz="6" w:space="0" w:color="C7D2DE"/>
        </w:tblBorders>
      </w:tblPr>
      <w:tblGrid>
        <w:gridCol w:w="3800"/>
        <w:gridCol w:w="5944"/>
      </w:tblGrid>
      <w:tr>
        <w:trPr>
          <w:tblHeader/>
          <w:cantSplit/>
        </w:trPr>
        <w:tc>
          <w:tcPr>
            <w:tcW w:type="dxa" w:w="380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Данные</w:t>
            </w:r>
          </w:p>
        </w:tc>
        <w:tc>
          <w:tcPr>
            <w:tcW w:type="dxa" w:w="5944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Ориентировочный срок</w:t>
            </w:r>
          </w:p>
        </w:tc>
      </w:tr>
      <w:tr>
        <w:trPr>
          <w:cantSplit/>
        </w:trPr>
        <w:tc>
          <w:tcPr>
            <w:tcW w:type="dxa" w:w="3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Технические журналы соединений и ошибок</w:t>
            </w:r>
          </w:p>
        </w:tc>
        <w:tc>
          <w:tcPr>
            <w:tcW w:type="dxa" w:w="59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до 30 календарных дней; дольше — только по конкретному инциденту, спору или требованию закона</w:t>
            </w:r>
          </w:p>
        </w:tc>
      </w:tr>
      <w:tr>
        <w:trPr>
          <w:cantSplit/>
        </w:trPr>
        <w:tc>
          <w:tcPr>
            <w:tcW w:type="dxa" w:w="3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Заказы, платежи, чеки и возвраты</w:t>
            </w:r>
          </w:p>
        </w:tc>
        <w:tc>
          <w:tcPr>
            <w:tcW w:type="dxa" w:w="59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в течение обязательного срока финансового и налогового учёта, обычно до 5 лет</w:t>
            </w:r>
          </w:p>
        </w:tc>
      </w:tr>
      <w:tr>
        <w:trPr>
          <w:cantSplit/>
        </w:trPr>
        <w:tc>
          <w:tcPr>
            <w:tcW w:type="dxa" w:w="3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Аккаунт, подписка и пробный период</w:t>
            </w:r>
          </w:p>
        </w:tc>
        <w:tc>
          <w:tcPr>
            <w:tcW w:type="dxa" w:w="59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пока аккаунт используется, затем до 3 лет для разрешения споров и предотвращения повторного теста</w:t>
            </w:r>
          </w:p>
        </w:tc>
      </w:tr>
      <w:tr>
        <w:trPr>
          <w:cantSplit/>
        </w:trPr>
        <w:tc>
          <w:tcPr>
            <w:tcW w:type="dxa" w:w="3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Поддержка и претензии</w:t>
            </w:r>
          </w:p>
        </w:tc>
        <w:tc>
          <w:tcPr>
            <w:tcW w:type="dxa" w:w="59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до 3 лет после закрытия обращения либо дольше, если идёт спор</w:t>
            </w:r>
          </w:p>
        </w:tc>
      </w:tr>
      <w:tr>
        <w:trPr>
          <w:cantSplit/>
        </w:trPr>
        <w:tc>
          <w:tcPr>
            <w:tcW w:type="dxa" w:w="3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Реферальные начисления</w:t>
            </w:r>
          </w:p>
        </w:tc>
        <w:tc>
          <w:tcPr>
            <w:tcW w:type="dxa" w:w="59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срок участия и до 3 лет после прекращения; документы о выплатах — до 5 лет</w:t>
            </w:r>
          </w:p>
        </w:tc>
      </w:tr>
      <w:tr>
        <w:trPr>
          <w:cantSplit/>
        </w:trPr>
        <w:tc>
          <w:tcPr>
            <w:tcW w:type="dxa" w:w="3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Отклонённая заявка контент-мейкера</w:t>
            </w:r>
          </w:p>
        </w:tc>
        <w:tc>
          <w:tcPr>
            <w:tcW w:type="dxa" w:w="59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до 90 дней, кроме доказательств спора или обязательного хранения</w:t>
            </w:r>
          </w:p>
        </w:tc>
      </w:tr>
      <w:tr>
        <w:trPr>
          <w:cantSplit/>
        </w:trPr>
        <w:tc>
          <w:tcPr>
            <w:tcW w:type="dxa" w:w="3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Рекламное согласие</w:t>
            </w:r>
          </w:p>
        </w:tc>
        <w:tc>
          <w:tcPr>
            <w:tcW w:type="dxa" w:w="59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до отзыва</w:t>
            </w:r>
          </w:p>
        </w:tc>
      </w:tr>
    </w:tbl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5.1. </w:t>
      </w:r>
      <w:r>
        <w:rPr>
          <w:rFonts w:ascii="Calibri" w:hAnsi="Calibri" w:cs="Calibri" w:eastAsia="Calibri"/>
          <w:color w:val="1F2937"/>
          <w:sz w:val="21"/>
        </w:rPr>
        <w:t>После окончания срока данные удаляются, обезличиваются или блокируются до законного уничтожения. Резервные копии очищаются по циклу резервного хранения.</w:t>
      </w:r>
    </w:p>
    <w:p>
      <w:pPr>
        <w:pStyle w:val="Heading1"/>
      </w:pPr>
      <w:r>
        <w:t>6. Права Пользователя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6.1. </w:t>
      </w:r>
      <w:r>
        <w:rPr>
          <w:rFonts w:ascii="Calibri" w:hAnsi="Calibri" w:cs="Calibri" w:eastAsia="Calibri"/>
          <w:color w:val="1F2937"/>
          <w:sz w:val="21"/>
        </w:rPr>
        <w:t>Пользователь может запросить подтверждение обработки, состав и источник данных, цели, получателей, сроки, копию данных, исправление, блокирование или удаление, а также отозвать согласие и возразить против обработки, когда это допускается законом.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6.2. </w:t>
      </w:r>
      <w:r>
        <w:rPr>
          <w:rFonts w:ascii="Calibri" w:hAnsi="Calibri" w:cs="Calibri" w:eastAsia="Calibri"/>
          <w:color w:val="1F2937"/>
          <w:sz w:val="21"/>
        </w:rPr>
        <w:t>Запрос направляется на pulsebotsupport@gmail.com с достаточными сведениями для идентификации. Оператор не просит пароль, CVC/CVV, коды банка или полный номер карты. До ответа может потребоваться безопасная проверка принадлежности аккаунта.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6.3. </w:t>
      </w:r>
      <w:r>
        <w:rPr>
          <w:rFonts w:ascii="Calibri" w:hAnsi="Calibri" w:cs="Calibri" w:eastAsia="Calibri"/>
          <w:color w:val="1F2937"/>
          <w:sz w:val="21"/>
        </w:rPr>
        <w:t>Удаление не выполняется в части данных, которые Оператор обязан хранить по закону либо которые необходимы для незавершённого платежа, претензии, спора, предотвращения мошенничества или защиты прав.</w:t>
      </w:r>
    </w:p>
    <w:p>
      <w:pPr>
        <w:pStyle w:val="Heading1"/>
      </w:pPr>
      <w:r>
        <w:t>7. Защита данных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7.1. </w:t>
      </w:r>
      <w:r>
        <w:rPr>
          <w:rFonts w:ascii="Calibri" w:hAnsi="Calibri" w:cs="Calibri" w:eastAsia="Calibri"/>
          <w:color w:val="1F2937"/>
          <w:sz w:val="21"/>
        </w:rPr>
        <w:t>Оператор применяет разграничение доступа, защищённые каналы передачи, резервное копирование, журналирование административных действий, обновление программного обеспечения и реагирование на инциденты. Доступ предоставляется по принципу необходимого минимума.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7.2. </w:t>
      </w:r>
      <w:r>
        <w:rPr>
          <w:rFonts w:ascii="Calibri" w:hAnsi="Calibri" w:cs="Calibri" w:eastAsia="Calibri"/>
          <w:color w:val="1F2937"/>
          <w:sz w:val="21"/>
        </w:rPr>
        <w:t>Ни один способ передачи и хранения не гарантирует абсолютную безопасность. При инциденте Оператор принимает меры по локализации, восстановлению и уведомлению в случаях и сроки, установленные законом.</w:t>
      </w:r>
    </w:p>
    <w:p>
      <w:pPr>
        <w:pStyle w:val="Heading1"/>
      </w:pPr>
      <w:r>
        <w:t>8. Обновления и контакты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8.1. </w:t>
      </w:r>
      <w:r>
        <w:rPr>
          <w:rFonts w:ascii="Calibri" w:hAnsi="Calibri" w:cs="Calibri" w:eastAsia="Calibri"/>
          <w:color w:val="1F2937"/>
          <w:sz w:val="21"/>
        </w:rPr>
        <w:t>Новая редакция публикуется на сайте Пульс и/или по ссылке в @pulsyvpnbot. Существенные изменения применяются на будущее; новое согласие запрашивается, когда расширение целей или состава данных нельзя обосновать иначе.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8.2. </w:t>
      </w:r>
      <w:r>
        <w:rPr>
          <w:rFonts w:ascii="Calibri" w:hAnsi="Calibri" w:cs="Calibri" w:eastAsia="Calibri"/>
          <w:color w:val="1F2937"/>
          <w:sz w:val="21"/>
        </w:rPr>
        <w:t>Оператор: Сандуляк Владимир Алексеевич, плательщик НПД, ИНН 500323925215, регион деятельности — Московская область. E-mail: pulsebotsupport@gmail.com. Telegram: @pulsybotsupport. Телефон: +7 993 606-40-05.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1020" w:left="1077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 w:cs="Calibri" w:eastAsia="Calibri"/>
        <w:color w:val="64748B"/>
        <w:sz w:val="17"/>
      </w:rPr>
      <w:t xml:space="preserve">Пульс  ·  редакция 2.0  ·  </w:t>
    </w:r>
    <w:r>
      <w:rPr>
        <w:rFonts w:ascii="Calibri" w:hAnsi="Calibri" w:cs="Calibri" w:eastAsia="Calibri"/>
        <w:color w:val="64748B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cs="Calibri" w:eastAsia="Calibri"/>
        <w:b/>
        <w:color w:val="17365D"/>
        <w:sz w:val="17"/>
      </w:rPr>
      <w:t>ПУЛЬС</w:t>
    </w:r>
    <w:r>
      <w:rPr>
        <w:rFonts w:ascii="Calibri" w:hAnsi="Calibri" w:cs="Calibri" w:eastAsia="Calibri"/>
        <w:color w:val="64748B"/>
        <w:sz w:val="17"/>
      </w:rPr>
      <w:t xml:space="preserve">  ·  Политика обработки персональных данных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3" w:lineRule="auto"/>
    </w:pPr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83" w:lineRule="auto"/>
      <w:ind w:left="539" w:hanging="266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83" w:lineRule="auto"/>
      <w:ind w:left="539" w:hanging="266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Политика обработки персональных данных</dc:subject>
  <dc:creator>Пульс</dc:creator>
  <cp:keywords>Пульс, RollyPay, публичные документы</cp:keywords>
  <dc:description>Публичная редакция для сайта и Telegram-бота</dc:description>
  <cp:lastModifiedBy>Пульс</cp:lastModifiedBy>
  <cp:revision>1</cp:revision>
  <dcterms:created xsi:type="dcterms:W3CDTF">2013-12-23T23:15:00Z</dcterms:created>
  <dcterms:modified xsi:type="dcterms:W3CDTF">2013-12-23T23:15:00Z</dcterms:modified>
  <cp:category/>
</cp:coreProperties>
</file>